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76" w:lineRule="auto"/>
      </w:pPr>
      <w:r>
        <w:rPr>
          <w:rFonts w:ascii="Arial" w:hAnsi="Arial"/>
          <w:b w:val="0"/>
          <w:color w:val="000000"/>
          <w:sz w:val="52"/>
        </w:rPr>
        <w:t>Порядок рассмотрения претензий правообладателей</w:t>
      </w:r>
    </w:p>
    <w:p>
      <w:pPr>
        <w:spacing w:before="0" w:after="160" w:line="276" w:lineRule="auto"/>
      </w:pPr>
      <w:r>
        <w:rPr>
          <w:rFonts w:ascii="Arial" w:hAnsi="Arial"/>
          <w:color w:val="555555"/>
          <w:sz w:val="22"/>
        </w:rPr>
        <w:t>Документ для размещения на сайте и использования при обращениях о предполагаемом нарушении исключительных прав на материалы, размещенные на сайте.</w:t>
      </w:r>
    </w:p>
    <w:p>
      <w:pPr>
        <w:pStyle w:val="Heading1"/>
      </w:pPr>
      <w:r>
        <w:t>1. Общие положения</w:t>
      </w:r>
    </w:p>
    <w:p>
      <w:pPr/>
      <w:r>
        <w:t>1.1. Администрация сайта уважает исключительные права на результаты интеллектуальной деятельности и средства индивидуализации и рассматривает обращения правообладателей либо их уполномоченных представителей о предполагаемом нарушении таких прав на материалах, размещенных на сайте.</w:t>
      </w:r>
    </w:p>
    <w:p>
      <w:pPr/>
      <w:r>
        <w:t>1.2. Настоящий документ регулирует порядок направления и рассмотрения обращений, связанных с текстами, фотографиями, изображениями, иллюстрациями, видеоматериалами, аудиоматериалами, графическими элементами, дизайном и иным контентом, размещенным на сайте.</w:t>
      </w:r>
    </w:p>
    <w:p>
      <w:pPr/>
      <w:r>
        <w:t>1.3. Размещение настоящего документа не означает признание факта нарушения в каждом конкретном случае. Каждое обращение рассматривается индивидуально с учетом представленных сведений и документов.</w:t>
      </w:r>
    </w:p>
    <w:p>
      <w:pPr>
        <w:pStyle w:val="Heading1"/>
      </w:pPr>
      <w:r>
        <w:t>2. Как направить обращение</w:t>
      </w:r>
    </w:p>
    <w:p>
      <w:pPr/>
      <w:r>
        <w:t>2.1. Обращение о предполагаемом нарушении исключительных прав может быть направлено на адрес электронной почты: gerchikovaib@gmail.com.</w:t>
      </w:r>
    </w:p>
    <w:p>
      <w:pPr/>
      <w:r>
        <w:t>2.2. Для ускорения рассмотрения обращения рекомендуется указывать в теме письма: «Претензия о нарушении авторских прав».</w:t>
      </w:r>
    </w:p>
    <w:p>
      <w:pPr>
        <w:pStyle w:val="Heading1"/>
      </w:pPr>
      <w:r>
        <w:t>3. Какие сведения желательно указать в обращении</w:t>
      </w:r>
    </w:p>
    <w:p>
      <w:pPr/>
      <w:r>
        <w:t>3.1. Для рассмотрения обращения рекомендуется указать:</w:t>
      </w:r>
    </w:p>
    <w:p>
      <w:pPr>
        <w:spacing w:after="80" w:line="276" w:lineRule="auto"/>
        <w:ind w:left="360" w:hanging="360"/>
      </w:pPr>
      <w:r>
        <w:rPr>
          <w:rFonts w:ascii="Arial" w:hAnsi="Arial"/>
          <w:sz w:val="22"/>
        </w:rPr>
        <w:t>• фамилию, имя, отчество либо наименование правообладателя и заявителя, если он действует от имени правообладателя;</w:t>
      </w:r>
    </w:p>
    <w:p>
      <w:pPr>
        <w:spacing w:after="80" w:line="276" w:lineRule="auto"/>
        <w:ind w:left="360" w:hanging="360"/>
      </w:pPr>
      <w:r>
        <w:rPr>
          <w:rFonts w:ascii="Arial" w:hAnsi="Arial"/>
          <w:sz w:val="22"/>
        </w:rPr>
        <w:t>• контактные данные для обратной связи, включая адрес электронной почты и при необходимости номер телефона;</w:t>
      </w:r>
    </w:p>
    <w:p>
      <w:pPr>
        <w:spacing w:after="80" w:line="276" w:lineRule="auto"/>
        <w:ind w:left="360" w:hanging="360"/>
      </w:pPr>
      <w:r>
        <w:rPr>
          <w:rFonts w:ascii="Arial" w:hAnsi="Arial"/>
          <w:sz w:val="22"/>
        </w:rPr>
        <w:t>• описание объекта исключительных прав, права на который, по мнению заявителя, нарушены;</w:t>
      </w:r>
    </w:p>
    <w:p>
      <w:pPr>
        <w:spacing w:after="80" w:line="276" w:lineRule="auto"/>
        <w:ind w:left="360" w:hanging="360"/>
      </w:pPr>
      <w:r>
        <w:rPr>
          <w:rFonts w:ascii="Arial" w:hAnsi="Arial"/>
          <w:sz w:val="22"/>
        </w:rPr>
        <w:t>• точную ссылку (URL) на страницу сайта, где размещен спорный материал;</w:t>
      </w:r>
    </w:p>
    <w:p>
      <w:pPr>
        <w:spacing w:after="80" w:line="276" w:lineRule="auto"/>
        <w:ind w:left="360" w:hanging="360"/>
      </w:pPr>
      <w:r>
        <w:rPr>
          <w:rFonts w:ascii="Arial" w:hAnsi="Arial"/>
          <w:sz w:val="22"/>
        </w:rPr>
        <w:t>• описание спорного материала и существа предполагаемого нарушения;</w:t>
      </w:r>
    </w:p>
    <w:p>
      <w:pPr>
        <w:spacing w:after="80" w:line="276" w:lineRule="auto"/>
        <w:ind w:left="360" w:hanging="360"/>
      </w:pPr>
      <w:r>
        <w:rPr>
          <w:rFonts w:ascii="Arial" w:hAnsi="Arial"/>
          <w:sz w:val="22"/>
        </w:rPr>
        <w:t>• документы или иные сведения, подтверждающие наличие прав либо полномочий действовать от имени правообладателя;</w:t>
      </w:r>
    </w:p>
    <w:p>
      <w:pPr>
        <w:spacing w:after="80" w:line="276" w:lineRule="auto"/>
        <w:ind w:left="360" w:hanging="360"/>
      </w:pPr>
      <w:r>
        <w:rPr>
          <w:rFonts w:ascii="Arial" w:hAnsi="Arial"/>
          <w:sz w:val="22"/>
        </w:rPr>
        <w:t>• при наличии - ссылку на оригинал материала или иные сведения, позволяющие идентифицировать объект права.</w:t>
      </w:r>
    </w:p>
    <w:p>
      <w:pPr>
        <w:pStyle w:val="Heading1"/>
      </w:pPr>
      <w:r>
        <w:t>4. Порядок рассмотрения обращения</w:t>
      </w:r>
    </w:p>
    <w:p>
      <w:pPr/>
      <w:r>
        <w:t>4.1. После получения обращения Администрация вправе проверить изложенные в нем сведения и при необходимости запросить у заявителя дополнительные документы или уточнения.</w:t>
      </w:r>
    </w:p>
    <w:p>
      <w:pPr/>
      <w:r>
        <w:t>4.2. На период проверки обращения Администрация вправе по своему усмотрению временно ограничить доступ к спорному материалу, снять его с публикации либо оставить доступным до получения дополнительных подтверждений, если это не противоречит применимому законодательству.</w:t>
      </w:r>
    </w:p>
    <w:p>
      <w:pPr/>
      <w:r>
        <w:t>4.3. При наличии достаточных оснований Администрация принимает разумные меры для прекращения предполагаемого нарушения, включая удаление материала, замену материала, ограничение доступа к нему или иные действия, которые Администрация сочтет необходимыми и соразмерными обстоятельствам.</w:t>
      </w:r>
    </w:p>
    <w:p>
      <w:pPr>
        <w:pStyle w:val="Heading1"/>
      </w:pPr>
      <w:r>
        <w:t>5. Дополнительные положения</w:t>
      </w:r>
    </w:p>
    <w:p>
      <w:pPr/>
      <w:r>
        <w:t>5.1. Администрация вправе не рассматривать анонимные обращения, обращения без указания спорного материала или обращения, из содержания которых невозможно определить суть предполагаемого нарушения.</w:t>
      </w:r>
    </w:p>
    <w:p>
      <w:pPr/>
      <w:r>
        <w:t>5.2. Если обращение направляется представителем правообладателя, Администрация вправе запросить документы, подтверждающие соответствующие полномочия.</w:t>
      </w:r>
    </w:p>
    <w:p>
      <w:pPr/>
      <w:r>
        <w:t>5.3. Если спорный материал уже был удален или изменен к моменту рассмотрения обращения, Администрация вправе сообщить об этом заявителю без проведения дополнительных действий.</w:t>
      </w:r>
    </w:p>
    <w:p>
      <w:pPr>
        <w:pStyle w:val="Heading1"/>
      </w:pPr>
      <w:r>
        <w:t>6. Контакты</w:t>
      </w:r>
    </w:p>
    <w:p>
      <w:pPr/>
      <w:r>
        <w:t>6.1. По вопросам, связанным с настоящим порядком и сообщениями о предполагаемом нарушении исключительных прав, можно обращаться по адресу: gerchikovaib@gmail.com.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276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20" w:line="276" w:lineRule="auto"/>
      <w:outlineLvl w:val="0"/>
    </w:pPr>
    <w:rPr>
      <w:rFonts w:asciiTheme="majorHAnsi" w:eastAsiaTheme="majorEastAsia" w:hAnsiTheme="majorHAnsi" w:cstheme="majorBidi" w:ascii="Arial" w:hAnsi="Arial"/>
      <w:b w:val="0"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20" w:line="276" w:lineRule="auto"/>
      <w:outlineLvl w:val="1"/>
    </w:pPr>
    <w:rPr>
      <w:rFonts w:asciiTheme="majorHAnsi" w:eastAsiaTheme="majorEastAsia" w:hAnsiTheme="majorHAnsi" w:cstheme="majorBidi" w:ascii="Arial" w:hAnsi="Arial"/>
      <w:b w:val="0"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320" w:after="80" w:line="276" w:lineRule="auto"/>
      <w:outlineLvl w:val="2"/>
    </w:pPr>
    <w:rPr>
      <w:rFonts w:asciiTheme="majorHAnsi" w:eastAsiaTheme="majorEastAsia" w:hAnsiTheme="majorHAnsi" w:cstheme="majorBidi" w:ascii="Arial" w:hAnsi="Arial"/>
      <w:b w:val="0"/>
      <w:bCs/>
      <w:color w:val="43434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